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FE3B6">
      <w:pPr>
        <w:widowControl/>
        <w:spacing w:after="150"/>
        <w:jc w:val="center"/>
        <w:rPr>
          <w:rFonts w:hint="eastAsia" w:ascii="仿宋" w:hAnsi="仿宋" w:eastAsia="仿宋" w:cs="Times New Roman"/>
          <w:b/>
          <w:kern w:val="0"/>
          <w:sz w:val="28"/>
        </w:rPr>
      </w:pPr>
      <w:r>
        <w:rPr>
          <w:rFonts w:hint="eastAsia" w:ascii="仿宋" w:hAnsi="仿宋" w:eastAsia="仿宋" w:cs="Times New Roman"/>
          <w:b/>
          <w:kern w:val="0"/>
          <w:sz w:val="28"/>
        </w:rPr>
        <w:t>长摘要要求</w:t>
      </w:r>
    </w:p>
    <w:p w14:paraId="103FB8D4">
      <w:pPr>
        <w:spacing w:after="156" w:afterLines="50"/>
        <w:rPr>
          <w:b/>
          <w:bCs/>
          <w:sz w:val="24"/>
          <w:szCs w:val="28"/>
        </w:rPr>
      </w:pPr>
      <w:r>
        <w:rPr>
          <w:rFonts w:hint="eastAsia"/>
          <w:b/>
          <w:bCs/>
          <w:sz w:val="24"/>
          <w:szCs w:val="28"/>
        </w:rPr>
        <w:t>内容要求</w:t>
      </w:r>
    </w:p>
    <w:p w14:paraId="7A0C08B4">
      <w:pPr>
        <w:spacing w:after="156" w:afterLines="50"/>
        <w:rPr>
          <w:b/>
        </w:rPr>
      </w:pPr>
      <w:r>
        <w:rPr>
          <w:rFonts w:hint="eastAsia"/>
        </w:rPr>
        <w:t>包括标题、作者姓名及单位、长摘要正文（背景、目标和内容、研究方法、结果与讨论、结论）、关键词、主要图表及参考文献。长摘要正文800-1000字（不含参考文献字数）。</w:t>
      </w:r>
      <w:r>
        <w:rPr>
          <w:rFonts w:hint="eastAsia"/>
          <w:b/>
        </w:rPr>
        <w:t>只提交全英文长摘要。</w:t>
      </w:r>
    </w:p>
    <w:p w14:paraId="1007321D">
      <w:pPr>
        <w:spacing w:after="156" w:afterLines="50"/>
        <w:rPr>
          <w:b/>
        </w:rPr>
      </w:pPr>
      <w:r>
        <w:rPr>
          <w:rFonts w:hint="eastAsia"/>
          <w:b/>
          <w:sz w:val="24"/>
          <w:szCs w:val="28"/>
        </w:rPr>
        <w:t>格式要求</w:t>
      </w:r>
    </w:p>
    <w:p w14:paraId="7F1A425F">
      <w:pPr>
        <w:spacing w:after="156" w:afterLines="50"/>
        <w:rPr>
          <w:rFonts w:hint="eastAsia" w:ascii="宋体" w:hAnsi="宋体"/>
          <w:b/>
        </w:rPr>
      </w:pPr>
      <w:r>
        <w:rPr>
          <w:rFonts w:hint="eastAsia" w:ascii="宋体" w:hAnsi="宋体"/>
          <w:b/>
        </w:rPr>
        <w:t>英文题名</w:t>
      </w:r>
      <w:r>
        <w:rPr>
          <w:rFonts w:ascii="宋体" w:hAnsi="宋体"/>
          <w:b/>
        </w:rPr>
        <w:t>:</w:t>
      </w:r>
    </w:p>
    <w:p w14:paraId="41423D3D">
      <w:pPr>
        <w:spacing w:after="156" w:afterLines="50"/>
      </w:pPr>
      <w:r>
        <w:rPr>
          <w:rFonts w:hint="eastAsia"/>
        </w:rPr>
        <w:t>Times New Roman，小三，加粗，两端对齐，段前1行，段后0行，仅第一个单词和专有名词首字母大写，如题目中有冒号，则冒号后第一个单词首字母也需大写。</w:t>
      </w:r>
    </w:p>
    <w:p w14:paraId="047C7A0A">
      <w:pPr>
        <w:spacing w:after="156" w:afterLines="50"/>
        <w:rPr>
          <w:bCs/>
        </w:rPr>
      </w:pPr>
      <w:r>
        <w:rPr>
          <w:rFonts w:hint="eastAsia" w:ascii="宋体" w:hAnsi="宋体"/>
          <w:b/>
        </w:rPr>
        <w:t>英文作者名：</w:t>
      </w:r>
      <w:r>
        <w:rPr>
          <w:rFonts w:hint="eastAsia"/>
        </w:rPr>
        <w:t>Times New Roman，小四。</w:t>
      </w:r>
    </w:p>
    <w:p w14:paraId="3E7183E8">
      <w:pPr>
        <w:spacing w:after="156" w:afterLines="50"/>
        <w:rPr>
          <w:bCs/>
        </w:rPr>
      </w:pPr>
      <w:r>
        <w:rPr>
          <w:rFonts w:hint="eastAsia" w:ascii="宋体" w:hAnsi="宋体"/>
          <w:b/>
        </w:rPr>
        <w:t>英文地址：</w:t>
      </w:r>
      <w:r>
        <w:rPr>
          <w:rFonts w:hint="eastAsia"/>
        </w:rPr>
        <w:t>Times New Roman，小五。</w:t>
      </w:r>
    </w:p>
    <w:p w14:paraId="549EA49D">
      <w:pPr>
        <w:spacing w:after="156" w:afterLines="50"/>
        <w:rPr>
          <w:rFonts w:hint="eastAsia" w:ascii="宋体" w:hAnsi="宋体"/>
          <w:b/>
        </w:rPr>
      </w:pPr>
      <w:r>
        <w:rPr>
          <w:rFonts w:hint="eastAsia" w:ascii="宋体" w:hAnsi="宋体"/>
          <w:b/>
        </w:rPr>
        <w:t>英文摘要及关键词：</w:t>
      </w:r>
    </w:p>
    <w:p w14:paraId="2FD46F65">
      <w:pPr>
        <w:spacing w:after="156" w:afterLines="50"/>
      </w:pPr>
      <w:r>
        <w:rPr>
          <w:rFonts w:hint="eastAsia"/>
        </w:rPr>
        <w:t>Times New Roman，五号。“Background, Aims and Scope.”，“Methods.”，“Results and Discussion.”，“Conclusion.”，“</w:t>
      </w:r>
      <w:r>
        <w:t>K</w:t>
      </w:r>
      <w:r>
        <w:rPr>
          <w:rFonts w:hint="eastAsia"/>
        </w:rPr>
        <w:t>eywords”加粗。其中关键词须设置段前0行，段后1行。</w:t>
      </w:r>
    </w:p>
    <w:p w14:paraId="1FBBED4D">
      <w:pPr>
        <w:spacing w:after="156" w:afterLines="50"/>
        <w:rPr>
          <w:rFonts w:hint="eastAsia" w:ascii="宋体" w:hAnsi="宋体"/>
          <w:b/>
        </w:rPr>
      </w:pPr>
      <w:r>
        <w:rPr>
          <w:rFonts w:hint="eastAsia" w:ascii="宋体" w:hAnsi="宋体"/>
          <w:b/>
        </w:rPr>
        <w:t>图表：</w:t>
      </w:r>
    </w:p>
    <w:p w14:paraId="536B966F">
      <w:pPr>
        <w:spacing w:after="156" w:afterLines="50"/>
      </w:pPr>
      <w:r>
        <w:rPr>
          <w:rFonts w:hint="eastAsia"/>
        </w:rPr>
        <w:t>英文图/表题为Times New Roman，小五，加粗。图表中所有字母、文字字号大小应一致（一般用小五号）。</w:t>
      </w:r>
    </w:p>
    <w:p w14:paraId="2B96185F">
      <w:pPr>
        <w:spacing w:after="156" w:afterLines="50"/>
      </w:pPr>
      <w:r>
        <w:rPr>
          <w:rFonts w:hint="eastAsia"/>
        </w:rPr>
        <w:t>图表随正文，先见文字后见图表；图题位于图后，表题位于表前。</w:t>
      </w:r>
    </w:p>
    <w:p w14:paraId="3831C7D5">
      <w:pPr>
        <w:spacing w:after="156" w:afterLines="50"/>
      </w:pPr>
      <w:r>
        <w:rPr>
          <w:rFonts w:hint="eastAsia"/>
        </w:rPr>
        <w:t>表格使用三线表，直接放在正文中适当的位置。表格应配有表序号、表题和详尽的表文、表注，使表格具有自明性。表格按照在正文中提到的先后顺序排序并用阿拉伯数字标注序号。表序号与表题在表格上方，表注在表格下方。在量符号（斜体）与单位（正体）之间用斜线隔开， 例如：时间及其单位写为：“</w:t>
      </w:r>
      <w:r>
        <w:rPr>
          <w:rFonts w:hint="eastAsia"/>
          <w:i/>
        </w:rPr>
        <w:t>t</w:t>
      </w:r>
      <w:r>
        <w:rPr>
          <w:rFonts w:hint="eastAsia"/>
        </w:rPr>
        <w:t>/min”，其中</w:t>
      </w:r>
      <w:r>
        <w:rPr>
          <w:rFonts w:hint="eastAsia"/>
          <w:i/>
        </w:rPr>
        <w:t>t</w:t>
      </w:r>
      <w:r>
        <w:rPr>
          <w:rFonts w:hint="eastAsia"/>
        </w:rPr>
        <w:t>为斜体，min为正体；浓度及其单位为：</w:t>
      </w:r>
      <w:r>
        <w:rPr>
          <w:rFonts w:hint="eastAsia"/>
          <w:i/>
        </w:rPr>
        <w:t>c</w:t>
      </w:r>
      <w:r>
        <w:rPr>
          <w:rFonts w:hint="eastAsia"/>
        </w:rPr>
        <w:t>/mg</w:t>
      </w:r>
      <w:r>
        <w:rPr>
          <w:rFonts w:cs="Times New Roman"/>
        </w:rPr>
        <w:t>·</w:t>
      </w:r>
      <w:r>
        <w:rPr>
          <w:rFonts w:hint="eastAsia"/>
        </w:rPr>
        <w:t>L</w:t>
      </w:r>
      <w:r>
        <w:rPr>
          <w:rFonts w:hint="eastAsia"/>
          <w:vertAlign w:val="superscript"/>
        </w:rPr>
        <w:t>-1</w:t>
      </w:r>
      <w:r>
        <w:rPr>
          <w:rFonts w:hint="eastAsia"/>
        </w:rPr>
        <w:t>其中</w:t>
      </w:r>
      <w:r>
        <w:rPr>
          <w:rFonts w:hint="eastAsia"/>
          <w:i/>
        </w:rPr>
        <w:t>c</w:t>
      </w:r>
      <w:r>
        <w:rPr>
          <w:rFonts w:hint="eastAsia"/>
        </w:rPr>
        <w:t>为斜体，mg</w:t>
      </w:r>
      <w:r>
        <w:rPr>
          <w:rFonts w:cs="Times New Roman"/>
        </w:rPr>
        <w:t>·</w:t>
      </w:r>
      <w:r>
        <w:rPr>
          <w:rFonts w:hint="eastAsia"/>
        </w:rPr>
        <w:t>L</w:t>
      </w:r>
      <w:r>
        <w:rPr>
          <w:rFonts w:hint="eastAsia"/>
          <w:vertAlign w:val="superscript"/>
        </w:rPr>
        <w:t>-1</w:t>
      </w:r>
      <w:r>
        <w:rPr>
          <w:rFonts w:hint="eastAsia"/>
        </w:rPr>
        <w:t>为正体。</w:t>
      </w:r>
    </w:p>
    <w:p w14:paraId="7944256C">
      <w:pPr>
        <w:spacing w:after="156" w:afterLines="50"/>
        <w:rPr>
          <w:b/>
          <w:bCs/>
        </w:rPr>
      </w:pPr>
      <w:r>
        <w:rPr>
          <w:rFonts w:hint="eastAsia"/>
          <w:b/>
          <w:bCs/>
        </w:rPr>
        <w:t>参考文献：</w:t>
      </w:r>
    </w:p>
    <w:p w14:paraId="136B62D0">
      <w:pPr>
        <w:spacing w:after="156" w:afterLines="50"/>
      </w:pPr>
      <w:r>
        <w:rPr>
          <w:rFonts w:hint="eastAsia"/>
        </w:rPr>
        <w:t>参考文献的写法应遵循国际上的通用习惯，且应全文统一，不能混用。在摘要正文中引用了参考文献的位置，须用上标标注[参考文献序号]。</w:t>
      </w:r>
    </w:p>
    <w:p w14:paraId="36EA70FD">
      <w:pPr>
        <w:spacing w:after="156" w:afterLines="50"/>
      </w:pPr>
      <w:r>
        <w:rPr>
          <w:rFonts w:hint="eastAsia"/>
        </w:rPr>
        <w:t>具体参考示例（注：该示例非真实发表论文）</w:t>
      </w:r>
    </w:p>
    <w:p w14:paraId="4286F136">
      <w:pPr>
        <w:spacing w:after="156" w:afterLines="50"/>
        <w:rPr>
          <w:b/>
          <w:bCs/>
          <w:sz w:val="24"/>
          <w:szCs w:val="28"/>
        </w:rPr>
      </w:pPr>
      <w:r>
        <w:rPr>
          <w:rFonts w:hint="eastAsia"/>
          <w:b/>
          <w:bCs/>
          <w:sz w:val="24"/>
          <w:szCs w:val="28"/>
        </w:rPr>
        <w:t>命名要求</w:t>
      </w:r>
    </w:p>
    <w:p w14:paraId="124F3452">
      <w:pPr>
        <w:rPr>
          <w:rFonts w:cs="宋体"/>
          <w:b/>
          <w:bCs/>
          <w:kern w:val="0"/>
          <w:sz w:val="30"/>
          <w:szCs w:val="30"/>
        </w:rPr>
      </w:pPr>
      <w:r>
        <w:rPr>
          <w:rFonts w:hint="eastAsia"/>
        </w:rPr>
        <w:t>按照[姓名+学校]的格式命名稿件。</w:t>
      </w:r>
      <w:bookmarkStart w:id="0" w:name="_GoBack"/>
      <w:bookmarkEnd w:id="0"/>
      <w:r>
        <w:rPr>
          <w:sz w:val="30"/>
          <w:szCs w:val="30"/>
        </w:rPr>
        <w:br w:type="page"/>
      </w:r>
    </w:p>
    <w:p w14:paraId="1A50835E">
      <w:pPr>
        <w:pStyle w:val="15"/>
        <w:spacing w:before="312" w:beforeLines="100" w:after="0" w:afterLines="0"/>
        <w:jc w:val="both"/>
        <w:outlineLvl w:val="0"/>
        <w:rPr>
          <w:sz w:val="30"/>
          <w:szCs w:val="30"/>
        </w:rPr>
      </w:pPr>
      <w:r>
        <w:rPr>
          <w:rFonts w:hint="eastAsia"/>
          <w:sz w:val="30"/>
          <w:szCs w:val="30"/>
        </w:rPr>
        <w:t xml:space="preserve">Research on </w:t>
      </w:r>
      <w:r>
        <w:rPr>
          <w:sz w:val="30"/>
          <w:szCs w:val="30"/>
        </w:rPr>
        <w:t>p</w:t>
      </w:r>
      <w:r>
        <w:rPr>
          <w:rFonts w:hint="eastAsia"/>
          <w:sz w:val="30"/>
          <w:szCs w:val="30"/>
        </w:rPr>
        <w:t>ermeability</w:t>
      </w:r>
      <w:r>
        <w:rPr>
          <w:sz w:val="30"/>
          <w:szCs w:val="30"/>
        </w:rPr>
        <w:t xml:space="preserve"> </w:t>
      </w:r>
      <w:r>
        <w:rPr>
          <w:rFonts w:hint="eastAsia"/>
          <w:sz w:val="30"/>
          <w:szCs w:val="30"/>
        </w:rPr>
        <w:t xml:space="preserve">of </w:t>
      </w:r>
      <w:r>
        <w:rPr>
          <w:sz w:val="30"/>
          <w:szCs w:val="30"/>
        </w:rPr>
        <w:t>municipal solid waste: A case study</w:t>
      </w:r>
    </w:p>
    <w:p w14:paraId="1DCC7F6C">
      <w:pPr>
        <w:pStyle w:val="14"/>
        <w:rPr>
          <w:u w:val="single"/>
          <w:lang w:val="de-DE"/>
        </w:rPr>
      </w:pPr>
      <w:r>
        <w:rPr>
          <w:lang w:val="de-DE"/>
        </w:rPr>
        <w:t>Zhigang Wang</w:t>
      </w:r>
      <w:r>
        <w:rPr>
          <w:rFonts w:eastAsia="宋体"/>
          <w:bCs/>
          <w:vertAlign w:val="superscript"/>
          <w:lang w:val="de-DE"/>
        </w:rPr>
        <w:t>1</w:t>
      </w:r>
      <w:r>
        <w:rPr>
          <w:lang w:val="de-DE"/>
        </w:rPr>
        <w:t>, Xiangdong Chen</w:t>
      </w:r>
      <w:r>
        <w:rPr>
          <w:rFonts w:eastAsia="宋体"/>
          <w:bCs/>
          <w:vertAlign w:val="superscript"/>
          <w:lang w:val="de-DE"/>
        </w:rPr>
        <w:t>2</w:t>
      </w:r>
      <w:r>
        <w:rPr>
          <w:lang w:val="de-DE"/>
        </w:rPr>
        <w:t>, Ying Zhuge</w:t>
      </w:r>
      <w:r>
        <w:rPr>
          <w:rFonts w:eastAsia="宋体"/>
          <w:bCs/>
          <w:vertAlign w:val="superscript"/>
          <w:lang w:val="de-DE"/>
        </w:rPr>
        <w:t>3</w:t>
      </w:r>
      <w:r>
        <w:rPr>
          <w:bCs/>
        </w:rPr>
        <w:t>, Julia Smith</w:t>
      </w:r>
      <w:r>
        <w:rPr>
          <w:bCs/>
          <w:vertAlign w:val="superscript"/>
        </w:rPr>
        <w:t>3</w:t>
      </w:r>
      <w:r>
        <w:rPr>
          <w:bCs/>
        </w:rPr>
        <w:t>, Ming Li</w:t>
      </w:r>
      <w:r>
        <w:rPr>
          <w:bCs/>
          <w:vertAlign w:val="superscript"/>
        </w:rPr>
        <w:t>1,*</w:t>
      </w:r>
    </w:p>
    <w:p w14:paraId="494116A5">
      <w:pPr>
        <w:pStyle w:val="19"/>
        <w:spacing w:after="0"/>
        <w:rPr>
          <w:rFonts w:cs="Times New Roman"/>
          <w:szCs w:val="18"/>
        </w:rPr>
      </w:pPr>
      <w:r>
        <w:rPr>
          <w:rFonts w:hAnsi="宋体" w:eastAsia="宋体" w:cs="Times New Roman"/>
          <w:szCs w:val="18"/>
          <w:lang w:val="de-DE"/>
        </w:rPr>
        <w:t>(</w:t>
      </w:r>
      <w:r>
        <w:rPr>
          <w:rFonts w:cs="Times New Roman"/>
          <w:szCs w:val="18"/>
        </w:rPr>
        <w:t xml:space="preserve">1. Department of Thermal Engineering, Tsinghua University, Beijing 100084, China; 2. Institute of Solar Energy, Xi’an Jiaotong University, Xi’an 710049, China; 3. Department of Power &amp; Energy Engineering, Shanghai Jiaotong University, Shanghai 200030, China) </w:t>
      </w:r>
    </w:p>
    <w:p w14:paraId="10507307">
      <w:pPr>
        <w:pStyle w:val="19"/>
        <w:spacing w:after="0"/>
        <w:rPr>
          <w:rFonts w:cs="Times New Roman"/>
          <w:szCs w:val="18"/>
        </w:rPr>
      </w:pPr>
      <w:r>
        <w:rPr>
          <w:rFonts w:cs="Times New Roman"/>
          <w:bCs/>
          <w:szCs w:val="18"/>
          <w:lang w:val="en-GB"/>
        </w:rPr>
        <w:t>*Email: liming@tsinghua.edu.cn</w:t>
      </w:r>
    </w:p>
    <w:p w14:paraId="425AAEB6">
      <w:pPr>
        <w:pStyle w:val="19"/>
        <w:spacing w:after="0"/>
        <w:rPr>
          <w:rFonts w:cs="Times New Roman" w:eastAsiaTheme="minorEastAsia"/>
          <w:szCs w:val="18"/>
        </w:rPr>
      </w:pPr>
    </w:p>
    <w:p w14:paraId="374955FB">
      <w:pPr>
        <w:rPr>
          <w:rFonts w:cs="Times New Roman"/>
          <w:szCs w:val="21"/>
        </w:rPr>
      </w:pPr>
      <w:r>
        <w:rPr>
          <w:rFonts w:cs="Times New Roman"/>
          <w:b/>
          <w:szCs w:val="21"/>
        </w:rPr>
        <w:t xml:space="preserve">Background, Aims and Scope. </w:t>
      </w:r>
      <w:r>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Pr>
          <w:rFonts w:cs="Times New Roman"/>
          <w:szCs w:val="21"/>
          <w:vertAlign w:val="superscript"/>
        </w:rPr>
        <w:t>[1]</w:t>
      </w:r>
      <w:r>
        <w:rPr>
          <w:rFonts w:cs="Times New Roman"/>
          <w:szCs w:val="21"/>
        </w:rPr>
        <w:t>.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w:t>
      </w:r>
    </w:p>
    <w:p w14:paraId="137453AE">
      <w:pPr>
        <w:rPr>
          <w:rFonts w:cs="Times New Roman"/>
          <w:szCs w:val="21"/>
        </w:rPr>
      </w:pPr>
      <w:r>
        <w:rPr>
          <w:rFonts w:cs="Times New Roman"/>
          <w:b/>
          <w:szCs w:val="21"/>
        </w:rPr>
        <w:t>Methods.</w:t>
      </w:r>
      <w:r>
        <w:rPr>
          <w:rFonts w:cs="Times New Roman"/>
          <w:szCs w:val="21"/>
        </w:rPr>
        <w:t xml:space="preserve">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w:t>
      </w:r>
    </w:p>
    <w:p w14:paraId="70BAF75A">
      <w:pPr>
        <w:rPr>
          <w:rFonts w:cs="Times New Roman"/>
          <w:szCs w:val="21"/>
        </w:rPr>
      </w:pPr>
      <w:r>
        <w:rPr>
          <w:rFonts w:cs="Times New Roman"/>
          <w:b/>
          <w:szCs w:val="21"/>
        </w:rPr>
        <w:t>Results and Discussion.</w:t>
      </w:r>
      <w:r>
        <w:rPr>
          <w:rFonts w:cs="Times New Roman"/>
          <w:szCs w:val="21"/>
        </w:rPr>
        <w:t xml:space="preserve">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w:t>
      </w:r>
    </w:p>
    <w:p w14:paraId="4FB019ED">
      <w:pPr>
        <w:rPr>
          <w:rFonts w:cs="Times New Roman"/>
          <w:szCs w:val="21"/>
        </w:rPr>
      </w:pPr>
      <w:r>
        <w:rPr>
          <w:rFonts w:cs="Times New Roman"/>
          <w:b/>
          <w:szCs w:val="21"/>
        </w:rPr>
        <w:t xml:space="preserve">Conclusion. </w:t>
      </w:r>
      <w:r>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 Aim at the research of landfill is mainly in degradation and treatment of landfill leachate, but its permeability is not enough, starts with the influence factors, combined with physical tests in laboratory, the law of permeability of MSW was analyzed.</w:t>
      </w:r>
    </w:p>
    <w:p w14:paraId="31DF7808">
      <w:pPr>
        <w:autoSpaceDE w:val="0"/>
        <w:autoSpaceDN w:val="0"/>
        <w:adjustRightInd w:val="0"/>
        <w:spacing w:after="312" w:afterLines="100"/>
        <w:jc w:val="left"/>
        <w:rPr>
          <w:rFonts w:cs="Times New Roman"/>
          <w:szCs w:val="21"/>
        </w:rPr>
      </w:pPr>
      <w:r>
        <w:rPr>
          <w:rFonts w:cs="Times New Roman"/>
          <w:b/>
          <w:szCs w:val="21"/>
        </w:rPr>
        <w:t>Keywords:</w:t>
      </w:r>
      <w:r>
        <w:rPr>
          <w:rFonts w:cs="Times New Roman"/>
          <w:szCs w:val="21"/>
        </w:rPr>
        <w:t xml:space="preserve"> sludge; organic refuse; coal; co-combustion characteristic; kinetics</w:t>
      </w:r>
    </w:p>
    <w:p w14:paraId="34898083">
      <w:pPr>
        <w:jc w:val="center"/>
        <w:rPr>
          <w:b/>
          <w:sz w:val="18"/>
          <w:szCs w:val="18"/>
        </w:rPr>
      </w:pPr>
      <w:r>
        <w:rPr>
          <w:b/>
          <w:sz w:val="18"/>
          <w:szCs w:val="18"/>
        </w:rPr>
        <w:drawing>
          <wp:inline distT="0" distB="0" distL="0" distR="0">
            <wp:extent cx="5123815" cy="2743200"/>
            <wp:effectExtent l="0" t="0" r="635" b="0"/>
            <wp:docPr id="5" name="图片 5" descr="C:\Users\xumao\AppData\Local\Temp\16534913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xumao\AppData\Local\Temp\165349137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138074" cy="2750816"/>
                    </a:xfrm>
                    <a:prstGeom prst="rect">
                      <a:avLst/>
                    </a:prstGeom>
                    <a:noFill/>
                    <a:ln>
                      <a:noFill/>
                    </a:ln>
                  </pic:spPr>
                </pic:pic>
              </a:graphicData>
            </a:graphic>
          </wp:inline>
        </w:drawing>
      </w:r>
    </w:p>
    <w:p w14:paraId="26D333E5">
      <w:pPr>
        <w:jc w:val="center"/>
        <w:rPr>
          <w:b/>
          <w:sz w:val="15"/>
          <w:szCs w:val="15"/>
        </w:rPr>
      </w:pPr>
      <w:r>
        <w:rPr>
          <w:b/>
          <w:sz w:val="18"/>
          <w:szCs w:val="18"/>
        </w:rPr>
        <w:t>Fig. 1 System boundaries for LCA of EIT</w:t>
      </w:r>
    </w:p>
    <w:p w14:paraId="5D352400">
      <w:pPr>
        <w:rPr>
          <w:b/>
          <w:sz w:val="18"/>
          <w:szCs w:val="18"/>
        </w:rPr>
      </w:pPr>
    </w:p>
    <w:p w14:paraId="0F7AB0FC">
      <w:pPr>
        <w:jc w:val="center"/>
        <w:rPr>
          <w:b/>
          <w:sz w:val="18"/>
          <w:szCs w:val="18"/>
        </w:rPr>
      </w:pPr>
      <w:r>
        <w:rPr>
          <w:b/>
          <w:sz w:val="18"/>
          <w:szCs w:val="18"/>
        </w:rPr>
        <w:t>Table 1 Proximate analysis and ultimate analysis of the tannery sludge</w:t>
      </w:r>
    </w:p>
    <w:tbl>
      <w:tblPr>
        <w:tblStyle w:val="8"/>
        <w:tblW w:w="5000" w:type="pct"/>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66"/>
        <w:gridCol w:w="754"/>
        <w:gridCol w:w="946"/>
        <w:gridCol w:w="946"/>
        <w:gridCol w:w="1583"/>
        <w:gridCol w:w="946"/>
        <w:gridCol w:w="814"/>
        <w:gridCol w:w="821"/>
        <w:gridCol w:w="852"/>
      </w:tblGrid>
      <w:tr w14:paraId="6D1492FD">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957" w:type="pct"/>
            <w:gridSpan w:val="5"/>
            <w:tcBorders>
              <w:top w:val="single" w:color="auto" w:sz="12" w:space="0"/>
              <w:bottom w:val="single" w:color="auto" w:sz="4" w:space="0"/>
              <w:right w:val="single" w:color="auto" w:sz="4" w:space="0"/>
            </w:tcBorders>
            <w:vAlign w:val="center"/>
          </w:tcPr>
          <w:p w14:paraId="70E47063">
            <w:pPr>
              <w:jc w:val="center"/>
              <w:rPr>
                <w:sz w:val="18"/>
                <w:szCs w:val="18"/>
              </w:rPr>
            </w:pPr>
            <w:r>
              <w:rPr>
                <w:sz w:val="18"/>
                <w:szCs w:val="18"/>
              </w:rPr>
              <w:t>Industrial analysis</w:t>
            </w:r>
            <w:r>
              <w:rPr>
                <w:rFonts w:hint="eastAsia"/>
                <w:sz w:val="18"/>
                <w:szCs w:val="18"/>
              </w:rPr>
              <w:t xml:space="preserve"> (%)</w:t>
            </w:r>
          </w:p>
        </w:tc>
        <w:tc>
          <w:tcPr>
            <w:tcW w:w="2043" w:type="pct"/>
            <w:gridSpan w:val="4"/>
            <w:tcBorders>
              <w:top w:val="single" w:color="auto" w:sz="12" w:space="0"/>
              <w:left w:val="single" w:color="auto" w:sz="4" w:space="0"/>
              <w:bottom w:val="single" w:color="auto" w:sz="4" w:space="0"/>
            </w:tcBorders>
            <w:vAlign w:val="center"/>
          </w:tcPr>
          <w:p w14:paraId="06B872B1">
            <w:pPr>
              <w:jc w:val="center"/>
              <w:rPr>
                <w:sz w:val="18"/>
                <w:szCs w:val="18"/>
              </w:rPr>
            </w:pPr>
            <w:r>
              <w:rPr>
                <w:sz w:val="18"/>
                <w:szCs w:val="18"/>
              </w:rPr>
              <w:t>Elemental analysis</w:t>
            </w:r>
            <w:r>
              <w:rPr>
                <w:rFonts w:hint="eastAsia"/>
                <w:sz w:val="18"/>
                <w:szCs w:val="18"/>
              </w:rPr>
              <w:t xml:space="preserve"> (%)</w:t>
            </w:r>
          </w:p>
        </w:tc>
      </w:tr>
      <w:tr w14:paraId="319845FF">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7" w:hRule="atLeast"/>
          <w:jc w:val="center"/>
        </w:trPr>
        <w:tc>
          <w:tcPr>
            <w:tcW w:w="447" w:type="pct"/>
            <w:tcBorders>
              <w:top w:val="single" w:color="auto" w:sz="4" w:space="0"/>
              <w:bottom w:val="single" w:color="auto" w:sz="4" w:space="0"/>
              <w:right w:val="nil"/>
            </w:tcBorders>
            <w:vAlign w:val="center"/>
          </w:tcPr>
          <w:p w14:paraId="4957F7EF">
            <w:pPr>
              <w:jc w:val="center"/>
              <w:rPr>
                <w:sz w:val="18"/>
                <w:szCs w:val="18"/>
              </w:rPr>
            </w:pPr>
            <w:r>
              <w:rPr>
                <w:sz w:val="18"/>
                <w:szCs w:val="18"/>
              </w:rPr>
              <w:t>Moisture</w:t>
            </w:r>
          </w:p>
        </w:tc>
        <w:tc>
          <w:tcPr>
            <w:tcW w:w="450" w:type="pct"/>
            <w:tcBorders>
              <w:top w:val="single" w:color="auto" w:sz="4" w:space="0"/>
              <w:left w:val="nil"/>
              <w:bottom w:val="single" w:color="auto" w:sz="4" w:space="0"/>
              <w:right w:val="nil"/>
            </w:tcBorders>
            <w:vAlign w:val="center"/>
          </w:tcPr>
          <w:p w14:paraId="4ECF67C3">
            <w:pPr>
              <w:jc w:val="center"/>
              <w:rPr>
                <w:sz w:val="18"/>
                <w:szCs w:val="18"/>
              </w:rPr>
            </w:pPr>
            <w:r>
              <w:rPr>
                <w:rFonts w:hint="eastAsia"/>
                <w:sz w:val="18"/>
                <w:szCs w:val="18"/>
              </w:rPr>
              <w:t>As</w:t>
            </w:r>
            <w:r>
              <w:rPr>
                <w:sz w:val="18"/>
                <w:szCs w:val="18"/>
              </w:rPr>
              <w:t>h</w:t>
            </w:r>
          </w:p>
        </w:tc>
        <w:tc>
          <w:tcPr>
            <w:tcW w:w="562" w:type="pct"/>
            <w:tcBorders>
              <w:top w:val="single" w:color="auto" w:sz="4" w:space="0"/>
              <w:left w:val="nil"/>
              <w:bottom w:val="single" w:color="auto" w:sz="4" w:space="0"/>
              <w:right w:val="nil"/>
            </w:tcBorders>
            <w:vAlign w:val="center"/>
          </w:tcPr>
          <w:p w14:paraId="05CC78D0">
            <w:pPr>
              <w:jc w:val="center"/>
              <w:rPr>
                <w:sz w:val="18"/>
                <w:szCs w:val="18"/>
              </w:rPr>
            </w:pPr>
            <w:r>
              <w:rPr>
                <w:sz w:val="18"/>
                <w:szCs w:val="18"/>
              </w:rPr>
              <w:t>Volatile matter</w:t>
            </w:r>
          </w:p>
        </w:tc>
        <w:tc>
          <w:tcPr>
            <w:tcW w:w="562" w:type="pct"/>
            <w:tcBorders>
              <w:top w:val="single" w:color="auto" w:sz="4" w:space="0"/>
              <w:left w:val="nil"/>
              <w:bottom w:val="single" w:color="auto" w:sz="4" w:space="0"/>
              <w:right w:val="nil"/>
            </w:tcBorders>
            <w:vAlign w:val="center"/>
          </w:tcPr>
          <w:p w14:paraId="1043764B">
            <w:pPr>
              <w:jc w:val="center"/>
              <w:rPr>
                <w:sz w:val="18"/>
                <w:szCs w:val="18"/>
              </w:rPr>
            </w:pPr>
            <w:r>
              <w:rPr>
                <w:rFonts w:hint="eastAsia"/>
                <w:sz w:val="18"/>
                <w:szCs w:val="18"/>
              </w:rPr>
              <w:t>F</w:t>
            </w:r>
            <w:r>
              <w:rPr>
                <w:sz w:val="18"/>
                <w:szCs w:val="18"/>
              </w:rPr>
              <w:t>ixed carbon</w:t>
            </w:r>
          </w:p>
        </w:tc>
        <w:tc>
          <w:tcPr>
            <w:tcW w:w="900" w:type="pct"/>
            <w:tcBorders>
              <w:top w:val="single" w:color="auto" w:sz="4" w:space="0"/>
              <w:left w:val="nil"/>
              <w:bottom w:val="single" w:color="auto" w:sz="4" w:space="0"/>
              <w:right w:val="single" w:color="auto" w:sz="4" w:space="0"/>
            </w:tcBorders>
            <w:vAlign w:val="center"/>
          </w:tcPr>
          <w:p w14:paraId="071DCD9A">
            <w:pPr>
              <w:jc w:val="center"/>
              <w:rPr>
                <w:sz w:val="18"/>
                <w:szCs w:val="18"/>
              </w:rPr>
            </w:pPr>
            <w:r>
              <w:rPr>
                <w:rFonts w:hint="eastAsia"/>
                <w:sz w:val="18"/>
                <w:szCs w:val="18"/>
              </w:rPr>
              <w:t>L</w:t>
            </w:r>
            <w:r>
              <w:rPr>
                <w:sz w:val="18"/>
                <w:szCs w:val="18"/>
              </w:rPr>
              <w:t>HV</w:t>
            </w:r>
          </w:p>
          <w:p w14:paraId="1D6542D2">
            <w:pPr>
              <w:jc w:val="center"/>
              <w:rPr>
                <w:sz w:val="18"/>
                <w:szCs w:val="18"/>
              </w:rPr>
            </w:pPr>
            <w:r>
              <w:rPr>
                <w:rFonts w:hint="eastAsia"/>
                <w:sz w:val="18"/>
                <w:szCs w:val="18"/>
              </w:rPr>
              <w:t>kJ/kg</w:t>
            </w:r>
          </w:p>
        </w:tc>
        <w:tc>
          <w:tcPr>
            <w:tcW w:w="562" w:type="pct"/>
            <w:tcBorders>
              <w:top w:val="single" w:color="auto" w:sz="4" w:space="0"/>
              <w:left w:val="single" w:color="auto" w:sz="4" w:space="0"/>
              <w:bottom w:val="single" w:color="auto" w:sz="4" w:space="0"/>
              <w:right w:val="nil"/>
            </w:tcBorders>
            <w:vAlign w:val="center"/>
          </w:tcPr>
          <w:p w14:paraId="50C13CC4">
            <w:pPr>
              <w:jc w:val="center"/>
              <w:rPr>
                <w:sz w:val="18"/>
                <w:szCs w:val="18"/>
              </w:rPr>
            </w:pPr>
            <w:r>
              <w:rPr>
                <w:rFonts w:hint="eastAsia"/>
                <w:sz w:val="18"/>
                <w:szCs w:val="18"/>
              </w:rPr>
              <w:t>C</w:t>
            </w:r>
          </w:p>
        </w:tc>
        <w:tc>
          <w:tcPr>
            <w:tcW w:w="485" w:type="pct"/>
            <w:tcBorders>
              <w:top w:val="single" w:color="auto" w:sz="4" w:space="0"/>
              <w:left w:val="nil"/>
              <w:bottom w:val="single" w:color="auto" w:sz="4" w:space="0"/>
              <w:right w:val="nil"/>
            </w:tcBorders>
            <w:vAlign w:val="center"/>
          </w:tcPr>
          <w:p w14:paraId="20451A2D">
            <w:pPr>
              <w:jc w:val="center"/>
              <w:rPr>
                <w:sz w:val="18"/>
                <w:szCs w:val="18"/>
              </w:rPr>
            </w:pPr>
            <w:r>
              <w:rPr>
                <w:rFonts w:hint="eastAsia"/>
                <w:sz w:val="18"/>
                <w:szCs w:val="18"/>
              </w:rPr>
              <w:t>H</w:t>
            </w:r>
          </w:p>
        </w:tc>
        <w:tc>
          <w:tcPr>
            <w:tcW w:w="489" w:type="pct"/>
            <w:tcBorders>
              <w:top w:val="single" w:color="auto" w:sz="4" w:space="0"/>
              <w:left w:val="nil"/>
              <w:bottom w:val="single" w:color="auto" w:sz="4" w:space="0"/>
              <w:right w:val="nil"/>
            </w:tcBorders>
            <w:vAlign w:val="center"/>
          </w:tcPr>
          <w:p w14:paraId="1609E433">
            <w:pPr>
              <w:jc w:val="center"/>
              <w:rPr>
                <w:sz w:val="18"/>
                <w:szCs w:val="18"/>
              </w:rPr>
            </w:pPr>
            <w:r>
              <w:rPr>
                <w:rFonts w:hint="eastAsia"/>
                <w:sz w:val="18"/>
                <w:szCs w:val="18"/>
              </w:rPr>
              <w:t>N</w:t>
            </w:r>
          </w:p>
        </w:tc>
        <w:tc>
          <w:tcPr>
            <w:tcW w:w="543" w:type="pct"/>
            <w:tcBorders>
              <w:top w:val="single" w:color="auto" w:sz="4" w:space="0"/>
              <w:left w:val="nil"/>
              <w:bottom w:val="single" w:color="auto" w:sz="4" w:space="0"/>
            </w:tcBorders>
            <w:vAlign w:val="center"/>
          </w:tcPr>
          <w:p w14:paraId="148446AE">
            <w:pPr>
              <w:jc w:val="center"/>
              <w:rPr>
                <w:sz w:val="18"/>
                <w:szCs w:val="18"/>
              </w:rPr>
            </w:pPr>
            <w:r>
              <w:rPr>
                <w:rFonts w:hint="eastAsia"/>
                <w:sz w:val="18"/>
                <w:szCs w:val="18"/>
              </w:rPr>
              <w:t>S</w:t>
            </w:r>
          </w:p>
        </w:tc>
      </w:tr>
      <w:tr w14:paraId="25E94772">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447" w:type="pct"/>
            <w:tcBorders>
              <w:top w:val="single" w:color="auto" w:sz="4" w:space="0"/>
              <w:bottom w:val="single" w:color="auto" w:sz="4" w:space="0"/>
              <w:right w:val="nil"/>
            </w:tcBorders>
            <w:vAlign w:val="center"/>
          </w:tcPr>
          <w:p w14:paraId="39C217BC">
            <w:pPr>
              <w:jc w:val="center"/>
              <w:rPr>
                <w:sz w:val="18"/>
                <w:szCs w:val="18"/>
              </w:rPr>
            </w:pPr>
            <w:r>
              <w:rPr>
                <w:rFonts w:hint="eastAsia"/>
                <w:sz w:val="18"/>
                <w:szCs w:val="18"/>
              </w:rPr>
              <w:t>73.25</w:t>
            </w:r>
          </w:p>
        </w:tc>
        <w:tc>
          <w:tcPr>
            <w:tcW w:w="450" w:type="pct"/>
            <w:tcBorders>
              <w:top w:val="single" w:color="auto" w:sz="4" w:space="0"/>
              <w:left w:val="nil"/>
              <w:bottom w:val="single" w:color="auto" w:sz="4" w:space="0"/>
              <w:right w:val="nil"/>
            </w:tcBorders>
            <w:vAlign w:val="center"/>
          </w:tcPr>
          <w:p w14:paraId="661567CD">
            <w:pPr>
              <w:jc w:val="center"/>
              <w:rPr>
                <w:sz w:val="18"/>
                <w:szCs w:val="18"/>
              </w:rPr>
            </w:pPr>
            <w:r>
              <w:rPr>
                <w:rFonts w:hint="eastAsia"/>
                <w:sz w:val="18"/>
                <w:szCs w:val="18"/>
              </w:rPr>
              <w:t>13.11</w:t>
            </w:r>
          </w:p>
        </w:tc>
        <w:tc>
          <w:tcPr>
            <w:tcW w:w="562" w:type="pct"/>
            <w:tcBorders>
              <w:top w:val="single" w:color="auto" w:sz="4" w:space="0"/>
              <w:left w:val="nil"/>
              <w:bottom w:val="single" w:color="auto" w:sz="4" w:space="0"/>
              <w:right w:val="nil"/>
            </w:tcBorders>
            <w:vAlign w:val="center"/>
          </w:tcPr>
          <w:p w14:paraId="5E3C21E0">
            <w:pPr>
              <w:jc w:val="center"/>
              <w:rPr>
                <w:sz w:val="18"/>
                <w:szCs w:val="18"/>
              </w:rPr>
            </w:pPr>
            <w:r>
              <w:rPr>
                <w:rFonts w:hint="eastAsia"/>
                <w:sz w:val="18"/>
                <w:szCs w:val="18"/>
              </w:rPr>
              <w:t>13.61</w:t>
            </w:r>
          </w:p>
        </w:tc>
        <w:tc>
          <w:tcPr>
            <w:tcW w:w="562" w:type="pct"/>
            <w:tcBorders>
              <w:top w:val="single" w:color="auto" w:sz="4" w:space="0"/>
              <w:left w:val="nil"/>
              <w:bottom w:val="single" w:color="auto" w:sz="4" w:space="0"/>
              <w:right w:val="nil"/>
            </w:tcBorders>
            <w:vAlign w:val="center"/>
          </w:tcPr>
          <w:p w14:paraId="43EC78A0">
            <w:pPr>
              <w:jc w:val="center"/>
              <w:rPr>
                <w:sz w:val="18"/>
                <w:szCs w:val="18"/>
              </w:rPr>
            </w:pPr>
            <w:r>
              <w:rPr>
                <w:rFonts w:hint="eastAsia"/>
                <w:sz w:val="18"/>
                <w:szCs w:val="18"/>
              </w:rPr>
              <w:t>0.03</w:t>
            </w:r>
          </w:p>
        </w:tc>
        <w:tc>
          <w:tcPr>
            <w:tcW w:w="900" w:type="pct"/>
            <w:tcBorders>
              <w:top w:val="single" w:color="auto" w:sz="4" w:space="0"/>
              <w:left w:val="nil"/>
              <w:bottom w:val="single" w:color="auto" w:sz="4" w:space="0"/>
              <w:right w:val="single" w:color="auto" w:sz="4" w:space="0"/>
            </w:tcBorders>
            <w:vAlign w:val="center"/>
          </w:tcPr>
          <w:p w14:paraId="61DC5B54">
            <w:pPr>
              <w:jc w:val="center"/>
              <w:rPr>
                <w:sz w:val="18"/>
                <w:szCs w:val="18"/>
              </w:rPr>
            </w:pPr>
            <w:r>
              <w:rPr>
                <w:rFonts w:hint="eastAsia"/>
                <w:sz w:val="18"/>
                <w:szCs w:val="18"/>
              </w:rPr>
              <w:t>5346.2</w:t>
            </w:r>
          </w:p>
        </w:tc>
        <w:tc>
          <w:tcPr>
            <w:tcW w:w="562" w:type="pct"/>
            <w:tcBorders>
              <w:top w:val="single" w:color="auto" w:sz="4" w:space="0"/>
              <w:left w:val="single" w:color="auto" w:sz="4" w:space="0"/>
              <w:bottom w:val="single" w:color="auto" w:sz="4" w:space="0"/>
              <w:right w:val="nil"/>
            </w:tcBorders>
            <w:vAlign w:val="center"/>
          </w:tcPr>
          <w:p w14:paraId="5DA8911C">
            <w:pPr>
              <w:jc w:val="center"/>
              <w:rPr>
                <w:sz w:val="18"/>
                <w:szCs w:val="18"/>
              </w:rPr>
            </w:pPr>
            <w:r>
              <w:rPr>
                <w:rFonts w:hint="eastAsia"/>
                <w:sz w:val="18"/>
                <w:szCs w:val="18"/>
              </w:rPr>
              <w:t>16.591</w:t>
            </w:r>
          </w:p>
        </w:tc>
        <w:tc>
          <w:tcPr>
            <w:tcW w:w="485" w:type="pct"/>
            <w:tcBorders>
              <w:top w:val="single" w:color="auto" w:sz="4" w:space="0"/>
              <w:left w:val="nil"/>
              <w:bottom w:val="single" w:color="auto" w:sz="4" w:space="0"/>
              <w:right w:val="nil"/>
            </w:tcBorders>
            <w:vAlign w:val="center"/>
          </w:tcPr>
          <w:p w14:paraId="26D3D915">
            <w:pPr>
              <w:jc w:val="center"/>
              <w:rPr>
                <w:sz w:val="18"/>
                <w:szCs w:val="18"/>
              </w:rPr>
            </w:pPr>
            <w:r>
              <w:rPr>
                <w:rFonts w:hint="eastAsia"/>
                <w:sz w:val="18"/>
                <w:szCs w:val="18"/>
              </w:rPr>
              <w:t>2.898</w:t>
            </w:r>
          </w:p>
        </w:tc>
        <w:tc>
          <w:tcPr>
            <w:tcW w:w="489" w:type="pct"/>
            <w:tcBorders>
              <w:top w:val="single" w:color="auto" w:sz="4" w:space="0"/>
              <w:left w:val="nil"/>
              <w:bottom w:val="single" w:color="auto" w:sz="4" w:space="0"/>
              <w:right w:val="nil"/>
            </w:tcBorders>
            <w:vAlign w:val="center"/>
          </w:tcPr>
          <w:p w14:paraId="283BC269">
            <w:pPr>
              <w:jc w:val="center"/>
              <w:rPr>
                <w:sz w:val="18"/>
                <w:szCs w:val="18"/>
              </w:rPr>
            </w:pPr>
            <w:r>
              <w:rPr>
                <w:rFonts w:hint="eastAsia"/>
                <w:sz w:val="18"/>
                <w:szCs w:val="18"/>
              </w:rPr>
              <w:t>2.343</w:t>
            </w:r>
          </w:p>
        </w:tc>
        <w:tc>
          <w:tcPr>
            <w:tcW w:w="543" w:type="pct"/>
            <w:tcBorders>
              <w:top w:val="single" w:color="auto" w:sz="4" w:space="0"/>
              <w:left w:val="nil"/>
              <w:bottom w:val="single" w:color="auto" w:sz="4" w:space="0"/>
            </w:tcBorders>
            <w:vAlign w:val="center"/>
          </w:tcPr>
          <w:p w14:paraId="179E1070">
            <w:pPr>
              <w:jc w:val="center"/>
              <w:rPr>
                <w:sz w:val="18"/>
                <w:szCs w:val="18"/>
              </w:rPr>
            </w:pPr>
            <w:r>
              <w:rPr>
                <w:rFonts w:hint="eastAsia"/>
                <w:sz w:val="18"/>
                <w:szCs w:val="18"/>
              </w:rPr>
              <w:t>0.623</w:t>
            </w:r>
          </w:p>
        </w:tc>
      </w:tr>
      <w:tr w14:paraId="25E54509">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59" w:type="pct"/>
            <w:gridSpan w:val="3"/>
            <w:vMerge w:val="restart"/>
            <w:tcBorders>
              <w:top w:val="single" w:color="auto" w:sz="4" w:space="0"/>
              <w:right w:val="nil"/>
            </w:tcBorders>
            <w:vAlign w:val="center"/>
          </w:tcPr>
          <w:p w14:paraId="0166A115">
            <w:pPr>
              <w:jc w:val="center"/>
              <w:rPr>
                <w:sz w:val="18"/>
                <w:szCs w:val="18"/>
              </w:rPr>
            </w:pPr>
            <w:r>
              <w:rPr>
                <w:sz w:val="18"/>
                <w:szCs w:val="18"/>
              </w:rPr>
              <w:t>Elemental analysis of heavy metal (mg/</w:t>
            </w:r>
            <w:r>
              <w:rPr>
                <w:rFonts w:hint="eastAsia"/>
                <w:sz w:val="18"/>
                <w:szCs w:val="18"/>
              </w:rPr>
              <w:t>k</w:t>
            </w:r>
            <w:r>
              <w:rPr>
                <w:sz w:val="18"/>
                <w:szCs w:val="18"/>
              </w:rPr>
              <w:t>g)</w:t>
            </w:r>
          </w:p>
        </w:tc>
        <w:tc>
          <w:tcPr>
            <w:tcW w:w="562" w:type="pct"/>
            <w:tcBorders>
              <w:top w:val="single" w:color="auto" w:sz="4" w:space="0"/>
              <w:left w:val="nil"/>
              <w:bottom w:val="single" w:color="auto" w:sz="4" w:space="0"/>
              <w:right w:val="nil"/>
            </w:tcBorders>
            <w:vAlign w:val="center"/>
          </w:tcPr>
          <w:p w14:paraId="593E4CBD">
            <w:pPr>
              <w:jc w:val="center"/>
              <w:rPr>
                <w:sz w:val="18"/>
                <w:szCs w:val="18"/>
              </w:rPr>
            </w:pPr>
            <w:r>
              <w:rPr>
                <w:sz w:val="18"/>
                <w:szCs w:val="18"/>
              </w:rPr>
              <w:t>Zn</w:t>
            </w:r>
          </w:p>
        </w:tc>
        <w:tc>
          <w:tcPr>
            <w:tcW w:w="900" w:type="pct"/>
            <w:tcBorders>
              <w:top w:val="single" w:color="auto" w:sz="4" w:space="0"/>
              <w:left w:val="nil"/>
              <w:bottom w:val="single" w:color="auto" w:sz="4" w:space="0"/>
              <w:right w:val="nil"/>
            </w:tcBorders>
            <w:vAlign w:val="center"/>
          </w:tcPr>
          <w:p w14:paraId="4612CBA6">
            <w:pPr>
              <w:jc w:val="center"/>
              <w:rPr>
                <w:sz w:val="18"/>
                <w:szCs w:val="18"/>
              </w:rPr>
            </w:pPr>
            <w:r>
              <w:rPr>
                <w:sz w:val="18"/>
                <w:szCs w:val="18"/>
              </w:rPr>
              <w:t>Pb</w:t>
            </w:r>
          </w:p>
        </w:tc>
        <w:tc>
          <w:tcPr>
            <w:tcW w:w="562" w:type="pct"/>
            <w:tcBorders>
              <w:top w:val="single" w:color="auto" w:sz="4" w:space="0"/>
              <w:left w:val="nil"/>
              <w:bottom w:val="single" w:color="auto" w:sz="4" w:space="0"/>
              <w:right w:val="nil"/>
            </w:tcBorders>
            <w:vAlign w:val="center"/>
          </w:tcPr>
          <w:p w14:paraId="5A1B6E34">
            <w:pPr>
              <w:jc w:val="center"/>
              <w:rPr>
                <w:sz w:val="18"/>
                <w:szCs w:val="18"/>
              </w:rPr>
            </w:pPr>
            <w:r>
              <w:rPr>
                <w:sz w:val="18"/>
                <w:szCs w:val="18"/>
              </w:rPr>
              <w:t>Cd</w:t>
            </w:r>
          </w:p>
        </w:tc>
        <w:tc>
          <w:tcPr>
            <w:tcW w:w="485" w:type="pct"/>
            <w:tcBorders>
              <w:top w:val="single" w:color="auto" w:sz="4" w:space="0"/>
              <w:left w:val="nil"/>
              <w:bottom w:val="single" w:color="auto" w:sz="4" w:space="0"/>
              <w:right w:val="nil"/>
            </w:tcBorders>
            <w:vAlign w:val="center"/>
          </w:tcPr>
          <w:p w14:paraId="695FA4FE">
            <w:pPr>
              <w:jc w:val="center"/>
              <w:rPr>
                <w:sz w:val="18"/>
                <w:szCs w:val="18"/>
              </w:rPr>
            </w:pPr>
            <w:r>
              <w:rPr>
                <w:rFonts w:hint="eastAsia"/>
                <w:sz w:val="18"/>
                <w:szCs w:val="18"/>
              </w:rPr>
              <w:t>Cu</w:t>
            </w:r>
          </w:p>
        </w:tc>
        <w:tc>
          <w:tcPr>
            <w:tcW w:w="489" w:type="pct"/>
            <w:tcBorders>
              <w:top w:val="single" w:color="auto" w:sz="4" w:space="0"/>
              <w:left w:val="nil"/>
              <w:bottom w:val="single" w:color="auto" w:sz="4" w:space="0"/>
              <w:right w:val="nil"/>
            </w:tcBorders>
            <w:vAlign w:val="center"/>
          </w:tcPr>
          <w:p w14:paraId="154997E4">
            <w:pPr>
              <w:jc w:val="center"/>
              <w:rPr>
                <w:sz w:val="18"/>
                <w:szCs w:val="18"/>
              </w:rPr>
            </w:pPr>
            <w:r>
              <w:rPr>
                <w:sz w:val="18"/>
                <w:szCs w:val="18"/>
              </w:rPr>
              <w:t>Mn</w:t>
            </w:r>
          </w:p>
        </w:tc>
        <w:tc>
          <w:tcPr>
            <w:tcW w:w="543" w:type="pct"/>
            <w:tcBorders>
              <w:top w:val="single" w:color="auto" w:sz="4" w:space="0"/>
              <w:left w:val="nil"/>
              <w:bottom w:val="single" w:color="auto" w:sz="4" w:space="0"/>
            </w:tcBorders>
            <w:vAlign w:val="center"/>
          </w:tcPr>
          <w:p w14:paraId="4354C3B8">
            <w:pPr>
              <w:jc w:val="center"/>
              <w:rPr>
                <w:sz w:val="18"/>
                <w:szCs w:val="18"/>
              </w:rPr>
            </w:pPr>
            <w:r>
              <w:rPr>
                <w:sz w:val="18"/>
                <w:szCs w:val="18"/>
              </w:rPr>
              <w:t>Cr</w:t>
            </w:r>
          </w:p>
        </w:tc>
      </w:tr>
      <w:tr w14:paraId="23B525FF">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513" w:type="pct"/>
            <w:gridSpan w:val="3"/>
            <w:vMerge w:val="continue"/>
            <w:tcBorders>
              <w:bottom w:val="single" w:color="auto" w:sz="12" w:space="0"/>
              <w:right w:val="nil"/>
            </w:tcBorders>
            <w:vAlign w:val="center"/>
          </w:tcPr>
          <w:p w14:paraId="67961FEB">
            <w:pPr>
              <w:jc w:val="center"/>
              <w:rPr>
                <w:sz w:val="18"/>
                <w:szCs w:val="18"/>
              </w:rPr>
            </w:pPr>
          </w:p>
        </w:tc>
        <w:tc>
          <w:tcPr>
            <w:tcW w:w="553" w:type="pct"/>
            <w:tcBorders>
              <w:top w:val="single" w:color="auto" w:sz="4" w:space="0"/>
              <w:left w:val="nil"/>
              <w:bottom w:val="single" w:color="auto" w:sz="12" w:space="0"/>
              <w:right w:val="nil"/>
            </w:tcBorders>
            <w:vAlign w:val="center"/>
          </w:tcPr>
          <w:p w14:paraId="05535650">
            <w:pPr>
              <w:jc w:val="center"/>
              <w:rPr>
                <w:sz w:val="18"/>
                <w:szCs w:val="18"/>
              </w:rPr>
            </w:pPr>
            <w:r>
              <w:rPr>
                <w:sz w:val="18"/>
                <w:szCs w:val="18"/>
              </w:rPr>
              <w:t>38</w:t>
            </w:r>
            <w:r>
              <w:rPr>
                <w:rFonts w:hint="eastAsia"/>
                <w:sz w:val="18"/>
                <w:szCs w:val="18"/>
              </w:rPr>
              <w:t>0</w:t>
            </w:r>
          </w:p>
        </w:tc>
        <w:tc>
          <w:tcPr>
            <w:tcW w:w="891" w:type="pct"/>
            <w:tcBorders>
              <w:top w:val="single" w:color="auto" w:sz="4" w:space="0"/>
              <w:left w:val="nil"/>
              <w:bottom w:val="single" w:color="auto" w:sz="12" w:space="0"/>
              <w:right w:val="nil"/>
            </w:tcBorders>
            <w:vAlign w:val="center"/>
          </w:tcPr>
          <w:p w14:paraId="6922E9AA">
            <w:pPr>
              <w:jc w:val="center"/>
              <w:rPr>
                <w:sz w:val="18"/>
                <w:szCs w:val="18"/>
              </w:rPr>
            </w:pPr>
            <w:r>
              <w:rPr>
                <w:sz w:val="18"/>
                <w:szCs w:val="18"/>
              </w:rPr>
              <w:t>28</w:t>
            </w:r>
            <w:r>
              <w:rPr>
                <w:rFonts w:hint="eastAsia"/>
                <w:sz w:val="18"/>
                <w:szCs w:val="18"/>
              </w:rPr>
              <w:t>0</w:t>
            </w:r>
          </w:p>
        </w:tc>
        <w:tc>
          <w:tcPr>
            <w:tcW w:w="553" w:type="pct"/>
            <w:tcBorders>
              <w:top w:val="single" w:color="auto" w:sz="4" w:space="0"/>
              <w:left w:val="nil"/>
              <w:bottom w:val="single" w:color="auto" w:sz="12" w:space="0"/>
              <w:right w:val="nil"/>
            </w:tcBorders>
            <w:vAlign w:val="center"/>
          </w:tcPr>
          <w:p w14:paraId="7B6B1E35">
            <w:pPr>
              <w:jc w:val="center"/>
              <w:rPr>
                <w:sz w:val="18"/>
                <w:szCs w:val="18"/>
              </w:rPr>
            </w:pPr>
            <w:r>
              <w:rPr>
                <w:sz w:val="18"/>
                <w:szCs w:val="18"/>
              </w:rPr>
              <w:t>3</w:t>
            </w:r>
          </w:p>
        </w:tc>
        <w:tc>
          <w:tcPr>
            <w:tcW w:w="476" w:type="pct"/>
            <w:tcBorders>
              <w:top w:val="single" w:color="auto" w:sz="4" w:space="0"/>
              <w:left w:val="nil"/>
              <w:bottom w:val="single" w:color="auto" w:sz="12" w:space="0"/>
              <w:right w:val="nil"/>
            </w:tcBorders>
            <w:vAlign w:val="center"/>
          </w:tcPr>
          <w:p w14:paraId="5772D655">
            <w:pPr>
              <w:jc w:val="center"/>
              <w:rPr>
                <w:sz w:val="18"/>
                <w:szCs w:val="18"/>
              </w:rPr>
            </w:pPr>
            <w:r>
              <w:rPr>
                <w:rFonts w:hint="eastAsia"/>
                <w:sz w:val="18"/>
                <w:szCs w:val="18"/>
              </w:rPr>
              <w:t>70</w:t>
            </w:r>
          </w:p>
        </w:tc>
        <w:tc>
          <w:tcPr>
            <w:tcW w:w="480" w:type="pct"/>
            <w:tcBorders>
              <w:top w:val="single" w:color="auto" w:sz="4" w:space="0"/>
              <w:left w:val="nil"/>
              <w:bottom w:val="single" w:color="auto" w:sz="12" w:space="0"/>
              <w:right w:val="nil"/>
            </w:tcBorders>
            <w:vAlign w:val="center"/>
          </w:tcPr>
          <w:p w14:paraId="6B95571D">
            <w:pPr>
              <w:jc w:val="center"/>
              <w:rPr>
                <w:sz w:val="18"/>
                <w:szCs w:val="18"/>
              </w:rPr>
            </w:pPr>
            <w:r>
              <w:rPr>
                <w:sz w:val="18"/>
                <w:szCs w:val="18"/>
              </w:rPr>
              <w:t>50</w:t>
            </w:r>
            <w:r>
              <w:rPr>
                <w:rFonts w:hint="eastAsia"/>
                <w:sz w:val="18"/>
                <w:szCs w:val="18"/>
              </w:rPr>
              <w:t>0</w:t>
            </w:r>
          </w:p>
        </w:tc>
        <w:tc>
          <w:tcPr>
            <w:tcW w:w="534" w:type="pct"/>
            <w:tcBorders>
              <w:top w:val="single" w:color="auto" w:sz="4" w:space="0"/>
              <w:left w:val="nil"/>
              <w:bottom w:val="single" w:color="auto" w:sz="12" w:space="0"/>
            </w:tcBorders>
            <w:vAlign w:val="center"/>
          </w:tcPr>
          <w:p w14:paraId="5B3BE460">
            <w:pPr>
              <w:jc w:val="center"/>
              <w:rPr>
                <w:sz w:val="18"/>
                <w:szCs w:val="18"/>
              </w:rPr>
            </w:pPr>
            <w:r>
              <w:rPr>
                <w:sz w:val="18"/>
                <w:szCs w:val="18"/>
              </w:rPr>
              <w:t>2049</w:t>
            </w:r>
            <w:r>
              <w:rPr>
                <w:rFonts w:hint="eastAsia"/>
                <w:sz w:val="18"/>
                <w:szCs w:val="18"/>
              </w:rPr>
              <w:t>0</w:t>
            </w:r>
          </w:p>
        </w:tc>
      </w:tr>
    </w:tbl>
    <w:p w14:paraId="7B358D89"/>
    <w:p w14:paraId="16800834">
      <w:pPr>
        <w:autoSpaceDE w:val="0"/>
        <w:autoSpaceDN w:val="0"/>
        <w:rPr>
          <w:b/>
          <w:bCs/>
          <w:szCs w:val="21"/>
        </w:rPr>
      </w:pPr>
      <w:r>
        <w:rPr>
          <w:rFonts w:hint="eastAsia"/>
          <w:b/>
          <w:bCs/>
          <w:szCs w:val="21"/>
        </w:rPr>
        <w:t>R</w:t>
      </w:r>
      <w:r>
        <w:rPr>
          <w:b/>
          <w:bCs/>
          <w:szCs w:val="21"/>
        </w:rPr>
        <w:t>eference</w:t>
      </w:r>
      <w:r>
        <w:rPr>
          <w:rFonts w:hint="eastAsia"/>
          <w:b/>
          <w:bCs/>
          <w:szCs w:val="21"/>
        </w:rPr>
        <w:t>s</w:t>
      </w:r>
    </w:p>
    <w:p w14:paraId="6C3A1B0E">
      <w:pPr>
        <w:pStyle w:val="26"/>
        <w:widowControl w:val="0"/>
        <w:autoSpaceDE w:val="0"/>
        <w:autoSpaceDN w:val="0"/>
        <w:spacing w:before="0" w:line="240" w:lineRule="auto"/>
        <w:jc w:val="both"/>
        <w:rPr>
          <w:b w:val="0"/>
          <w:sz w:val="21"/>
          <w:szCs w:val="21"/>
          <w:lang w:eastAsia="zh-CN"/>
        </w:rPr>
      </w:pPr>
      <w:r>
        <w:rPr>
          <w:rFonts w:hint="eastAsia"/>
          <w:b w:val="0"/>
          <w:bCs/>
          <w:sz w:val="21"/>
          <w:szCs w:val="21"/>
        </w:rPr>
        <w:t>[</w:t>
      </w:r>
      <w:r>
        <w:rPr>
          <w:b w:val="0"/>
          <w:bCs/>
          <w:sz w:val="21"/>
          <w:szCs w:val="21"/>
        </w:rPr>
        <w:t>1]</w:t>
      </w:r>
      <w:r>
        <w:rPr>
          <w:szCs w:val="21"/>
        </w:rPr>
        <w:t xml:space="preserve"> </w:t>
      </w:r>
      <w:r>
        <w:rPr>
          <w:rFonts w:hint="eastAsia"/>
          <w:b w:val="0"/>
          <w:sz w:val="21"/>
          <w:szCs w:val="21"/>
          <w:lang w:eastAsia="zh-CN"/>
        </w:rPr>
        <w:t>Zhang, S.; Li, S.; Zhou, W.; Zheng, L.</w:t>
      </w:r>
      <w:r>
        <w:rPr>
          <w:rFonts w:hint="eastAsia"/>
          <w:b w:val="0"/>
          <w:i/>
          <w:sz w:val="21"/>
          <w:szCs w:val="21"/>
          <w:lang w:eastAsia="zh-CN"/>
        </w:rPr>
        <w:t xml:space="preserve"> Chem. Phys.</w:t>
      </w:r>
      <w:r>
        <w:rPr>
          <w:rFonts w:hint="eastAsia"/>
          <w:b w:val="0"/>
          <w:sz w:val="21"/>
          <w:szCs w:val="21"/>
          <w:lang w:eastAsia="zh-CN"/>
        </w:rPr>
        <w:t xml:space="preserve"> </w:t>
      </w:r>
      <w:r>
        <w:rPr>
          <w:rFonts w:hint="eastAsia"/>
          <w:sz w:val="21"/>
          <w:szCs w:val="21"/>
          <w:lang w:eastAsia="zh-CN"/>
        </w:rPr>
        <w:t>2011</w:t>
      </w:r>
      <w:r>
        <w:rPr>
          <w:rFonts w:hint="eastAsia"/>
          <w:b w:val="0"/>
          <w:sz w:val="21"/>
          <w:szCs w:val="21"/>
          <w:lang w:eastAsia="zh-CN"/>
        </w:rPr>
        <w:t xml:space="preserve">, </w:t>
      </w:r>
      <w:r>
        <w:rPr>
          <w:rFonts w:hint="eastAsia"/>
          <w:sz w:val="21"/>
          <w:szCs w:val="21"/>
          <w:lang w:eastAsia="zh-CN"/>
        </w:rPr>
        <w:t>135</w:t>
      </w:r>
      <w:r>
        <w:rPr>
          <w:rFonts w:hint="eastAsia"/>
          <w:b w:val="0"/>
          <w:sz w:val="21"/>
          <w:szCs w:val="21"/>
          <w:lang w:eastAsia="zh-CN"/>
        </w:rPr>
        <w:t>: 14304.</w:t>
      </w:r>
    </w:p>
    <w:sectPr>
      <w:headerReference r:id="rId3" w:type="default"/>
      <w:pgSz w:w="11906" w:h="16838"/>
      <w:pgMar w:top="1440" w:right="1797" w:bottom="1440" w:left="1797" w:header="45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2A262">
    <w:pPr>
      <w:pStyle w:val="7"/>
      <w:pBdr>
        <w:bottom w:val="none" w:color="auto" w:sz="0" w:space="0"/>
      </w:pBdr>
    </w:pPr>
    <w:r>
      <w:drawing>
        <wp:inline distT="0" distB="0" distL="0" distR="0">
          <wp:extent cx="4340860" cy="5397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40890" cy="54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E22"/>
    <w:rsid w:val="00000623"/>
    <w:rsid w:val="000502FF"/>
    <w:rsid w:val="0005739D"/>
    <w:rsid w:val="00091C5D"/>
    <w:rsid w:val="0009715C"/>
    <w:rsid w:val="000B5B7B"/>
    <w:rsid w:val="000E0004"/>
    <w:rsid w:val="000F4120"/>
    <w:rsid w:val="00115A1E"/>
    <w:rsid w:val="00116BE1"/>
    <w:rsid w:val="00131147"/>
    <w:rsid w:val="00163FC9"/>
    <w:rsid w:val="0018495C"/>
    <w:rsid w:val="00186927"/>
    <w:rsid w:val="001870A3"/>
    <w:rsid w:val="001C3311"/>
    <w:rsid w:val="001F4A3B"/>
    <w:rsid w:val="00205093"/>
    <w:rsid w:val="00237790"/>
    <w:rsid w:val="00253D30"/>
    <w:rsid w:val="0028566F"/>
    <w:rsid w:val="00297649"/>
    <w:rsid w:val="002B22BD"/>
    <w:rsid w:val="002F119D"/>
    <w:rsid w:val="00306738"/>
    <w:rsid w:val="00327830"/>
    <w:rsid w:val="00330B59"/>
    <w:rsid w:val="00334913"/>
    <w:rsid w:val="00336CFA"/>
    <w:rsid w:val="00357C53"/>
    <w:rsid w:val="00385CC4"/>
    <w:rsid w:val="0039300A"/>
    <w:rsid w:val="003E1DF9"/>
    <w:rsid w:val="003E780A"/>
    <w:rsid w:val="00400815"/>
    <w:rsid w:val="00403C1D"/>
    <w:rsid w:val="0040615B"/>
    <w:rsid w:val="004101A6"/>
    <w:rsid w:val="004359E4"/>
    <w:rsid w:val="00472C38"/>
    <w:rsid w:val="00476D44"/>
    <w:rsid w:val="004A0931"/>
    <w:rsid w:val="004A120D"/>
    <w:rsid w:val="004E60E6"/>
    <w:rsid w:val="004F4EB2"/>
    <w:rsid w:val="0050744B"/>
    <w:rsid w:val="0051587E"/>
    <w:rsid w:val="005260BD"/>
    <w:rsid w:val="00534F51"/>
    <w:rsid w:val="00541CA2"/>
    <w:rsid w:val="00543D7E"/>
    <w:rsid w:val="005527D9"/>
    <w:rsid w:val="0055469E"/>
    <w:rsid w:val="00571D86"/>
    <w:rsid w:val="005B26BF"/>
    <w:rsid w:val="005B7A9C"/>
    <w:rsid w:val="005E660F"/>
    <w:rsid w:val="006035E5"/>
    <w:rsid w:val="006101AF"/>
    <w:rsid w:val="006553DF"/>
    <w:rsid w:val="006B47B9"/>
    <w:rsid w:val="006C3676"/>
    <w:rsid w:val="006D0586"/>
    <w:rsid w:val="006E2D07"/>
    <w:rsid w:val="00703BDC"/>
    <w:rsid w:val="00710EC9"/>
    <w:rsid w:val="0073527D"/>
    <w:rsid w:val="00781FDA"/>
    <w:rsid w:val="007A0153"/>
    <w:rsid w:val="007A6786"/>
    <w:rsid w:val="007B627B"/>
    <w:rsid w:val="007C67FD"/>
    <w:rsid w:val="007D7641"/>
    <w:rsid w:val="00822B7D"/>
    <w:rsid w:val="0087467B"/>
    <w:rsid w:val="00890631"/>
    <w:rsid w:val="00892A77"/>
    <w:rsid w:val="0089537D"/>
    <w:rsid w:val="008A4629"/>
    <w:rsid w:val="008B18EA"/>
    <w:rsid w:val="008B4520"/>
    <w:rsid w:val="008E22A8"/>
    <w:rsid w:val="008E7FBF"/>
    <w:rsid w:val="008F1354"/>
    <w:rsid w:val="009046B8"/>
    <w:rsid w:val="009068A6"/>
    <w:rsid w:val="00925FB4"/>
    <w:rsid w:val="00937A84"/>
    <w:rsid w:val="00944F4D"/>
    <w:rsid w:val="00965556"/>
    <w:rsid w:val="0098651D"/>
    <w:rsid w:val="009C46AA"/>
    <w:rsid w:val="00A02495"/>
    <w:rsid w:val="00A16E22"/>
    <w:rsid w:val="00A40080"/>
    <w:rsid w:val="00A42BA5"/>
    <w:rsid w:val="00A77D07"/>
    <w:rsid w:val="00A8390B"/>
    <w:rsid w:val="00AF2BDE"/>
    <w:rsid w:val="00B2769C"/>
    <w:rsid w:val="00B470F9"/>
    <w:rsid w:val="00B475DA"/>
    <w:rsid w:val="00B72D5B"/>
    <w:rsid w:val="00B9090D"/>
    <w:rsid w:val="00B923F7"/>
    <w:rsid w:val="00BB62F1"/>
    <w:rsid w:val="00BC1837"/>
    <w:rsid w:val="00C14593"/>
    <w:rsid w:val="00C30051"/>
    <w:rsid w:val="00C71E95"/>
    <w:rsid w:val="00CD6B8C"/>
    <w:rsid w:val="00CE4BA0"/>
    <w:rsid w:val="00CF1F2E"/>
    <w:rsid w:val="00CF6B41"/>
    <w:rsid w:val="00D2135C"/>
    <w:rsid w:val="00D3574D"/>
    <w:rsid w:val="00D40277"/>
    <w:rsid w:val="00D63788"/>
    <w:rsid w:val="00D90BBF"/>
    <w:rsid w:val="00DD39B7"/>
    <w:rsid w:val="00DF455A"/>
    <w:rsid w:val="00DF5FEF"/>
    <w:rsid w:val="00E36237"/>
    <w:rsid w:val="00E601E8"/>
    <w:rsid w:val="00E71F92"/>
    <w:rsid w:val="00ED4A64"/>
    <w:rsid w:val="00F12D29"/>
    <w:rsid w:val="00F530B8"/>
    <w:rsid w:val="00F61A4F"/>
    <w:rsid w:val="00F73EA4"/>
    <w:rsid w:val="00F8479A"/>
    <w:rsid w:val="00F851CA"/>
    <w:rsid w:val="00F919C9"/>
    <w:rsid w:val="00F93644"/>
    <w:rsid w:val="00F941B3"/>
    <w:rsid w:val="00FA5BD6"/>
    <w:rsid w:val="00FB4CF6"/>
    <w:rsid w:val="00FD3A5C"/>
    <w:rsid w:val="00FD7257"/>
    <w:rsid w:val="00FF3152"/>
    <w:rsid w:val="29B0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next w:val="1"/>
    <w:link w:val="20"/>
    <w:autoRedefine/>
    <w:qFormat/>
    <w:uiPriority w:val="9"/>
    <w:pPr>
      <w:widowControl w:val="0"/>
      <w:snapToGrid w:val="0"/>
      <w:spacing w:before="312" w:beforeLines="100"/>
      <w:jc w:val="both"/>
      <w:outlineLvl w:val="0"/>
    </w:pPr>
    <w:rPr>
      <w:rFonts w:ascii="Times New Roman" w:hAnsi="Times New Roman" w:eastAsia="宋体" w:cs="宋体"/>
      <w:b/>
      <w:kern w:val="44"/>
      <w:sz w:val="30"/>
      <w:szCs w:val="44"/>
      <w:lang w:val="en-US" w:eastAsia="zh-CN" w:bidi="ar-SA"/>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2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uiPriority w:val="99"/>
    <w:rPr>
      <w:sz w:val="18"/>
      <w:szCs w:val="18"/>
    </w:rPr>
  </w:style>
  <w:style w:type="character" w:customStyle="1" w:styleId="12">
    <w:name w:val="页脚 字符"/>
    <w:basedOn w:val="10"/>
    <w:link w:val="6"/>
    <w:qFormat/>
    <w:uiPriority w:val="99"/>
    <w:rPr>
      <w:sz w:val="18"/>
      <w:szCs w:val="18"/>
    </w:rPr>
  </w:style>
  <w:style w:type="paragraph" w:customStyle="1" w:styleId="13">
    <w:name w:val="题名"/>
    <w:basedOn w:val="2"/>
    <w:autoRedefine/>
    <w:qFormat/>
    <w:uiPriority w:val="0"/>
    <w:pPr>
      <w:widowControl/>
      <w:spacing w:before="0"/>
    </w:pPr>
    <w:rPr>
      <w:rFonts w:hAnsi="宋体" w:eastAsia="黑体"/>
      <w:b w:val="0"/>
      <w:kern w:val="0"/>
      <w:sz w:val="32"/>
    </w:rPr>
  </w:style>
  <w:style w:type="paragraph" w:customStyle="1" w:styleId="14">
    <w:name w:val="英文题名"/>
    <w:basedOn w:val="1"/>
    <w:autoRedefine/>
    <w:qFormat/>
    <w:uiPriority w:val="0"/>
    <w:pPr>
      <w:adjustRightInd w:val="0"/>
      <w:snapToGrid w:val="0"/>
    </w:pPr>
    <w:rPr>
      <w:rFonts w:eastAsia="Times New Roman" w:cs="宋体"/>
      <w:color w:val="333333"/>
      <w:kern w:val="0"/>
      <w:sz w:val="24"/>
      <w:szCs w:val="20"/>
    </w:rPr>
  </w:style>
  <w:style w:type="paragraph" w:customStyle="1" w:styleId="15">
    <w:name w:val="英文标题"/>
    <w:basedOn w:val="1"/>
    <w:qFormat/>
    <w:uiPriority w:val="0"/>
    <w:pPr>
      <w:adjustRightInd w:val="0"/>
      <w:snapToGrid w:val="0"/>
      <w:spacing w:before="80" w:beforeLines="80" w:after="20" w:afterLines="20"/>
      <w:jc w:val="left"/>
    </w:pPr>
    <w:rPr>
      <w:rFonts w:cs="宋体"/>
      <w:b/>
      <w:bCs/>
      <w:kern w:val="0"/>
      <w:sz w:val="24"/>
      <w:szCs w:val="20"/>
    </w:rPr>
  </w:style>
  <w:style w:type="paragraph" w:customStyle="1" w:styleId="16">
    <w:name w:val="作者姓名"/>
    <w:basedOn w:val="3"/>
    <w:autoRedefine/>
    <w:qFormat/>
    <w:uiPriority w:val="0"/>
    <w:pPr>
      <w:keepNext w:val="0"/>
      <w:keepLines w:val="0"/>
      <w:widowControl/>
      <w:spacing w:before="0" w:after="0" w:line="240" w:lineRule="auto"/>
    </w:pPr>
    <w:rPr>
      <w:rFonts w:ascii="Times New Roman" w:hAnsi="Times New Roman" w:eastAsia="宋体" w:cs="宋体"/>
      <w:b w:val="0"/>
      <w:kern w:val="0"/>
      <w:sz w:val="24"/>
      <w:szCs w:val="20"/>
    </w:rPr>
  </w:style>
  <w:style w:type="character" w:customStyle="1" w:styleId="17">
    <w:name w:val="摘要名"/>
    <w:qFormat/>
    <w:uiPriority w:val="0"/>
    <w:rPr>
      <w:b/>
      <w:bCs/>
    </w:rPr>
  </w:style>
  <w:style w:type="paragraph" w:customStyle="1" w:styleId="18">
    <w:name w:val="样式 作者单位 + 段后: 0.5 行"/>
    <w:basedOn w:val="1"/>
    <w:qFormat/>
    <w:uiPriority w:val="0"/>
    <w:pPr>
      <w:adjustRightInd w:val="0"/>
      <w:snapToGrid w:val="0"/>
      <w:spacing w:before="100" w:after="100" w:line="360" w:lineRule="auto"/>
    </w:pPr>
    <w:rPr>
      <w:rFonts w:cs="宋体"/>
      <w:sz w:val="18"/>
      <w:szCs w:val="20"/>
    </w:rPr>
  </w:style>
  <w:style w:type="paragraph" w:customStyle="1" w:styleId="19">
    <w:name w:val="样式 英文作者单位 + 段后: 0.5 行"/>
    <w:basedOn w:val="1"/>
    <w:qFormat/>
    <w:uiPriority w:val="0"/>
    <w:pPr>
      <w:spacing w:after="100"/>
    </w:pPr>
    <w:rPr>
      <w:rFonts w:eastAsia="Times New Roman" w:cs="宋体"/>
      <w:sz w:val="18"/>
      <w:szCs w:val="20"/>
    </w:rPr>
  </w:style>
  <w:style w:type="character" w:customStyle="1" w:styleId="20">
    <w:name w:val="标题 1 字符"/>
    <w:basedOn w:val="10"/>
    <w:link w:val="2"/>
    <w:qFormat/>
    <w:uiPriority w:val="9"/>
    <w:rPr>
      <w:rFonts w:ascii="Times New Roman" w:hAnsi="Times New Roman" w:eastAsia="宋体" w:cs="宋体"/>
      <w:b/>
      <w:kern w:val="44"/>
      <w:sz w:val="30"/>
      <w:szCs w:val="44"/>
    </w:rPr>
  </w:style>
  <w:style w:type="character" w:customStyle="1" w:styleId="21">
    <w:name w:val="标题 2 字符"/>
    <w:basedOn w:val="10"/>
    <w:link w:val="3"/>
    <w:semiHidden/>
    <w:qFormat/>
    <w:uiPriority w:val="9"/>
    <w:rPr>
      <w:rFonts w:asciiTheme="majorHAnsi" w:hAnsiTheme="majorHAnsi" w:eastAsiaTheme="majorEastAsia" w:cstheme="majorBidi"/>
      <w:b/>
      <w:bCs/>
      <w:sz w:val="32"/>
      <w:szCs w:val="32"/>
    </w:rPr>
  </w:style>
  <w:style w:type="character" w:customStyle="1" w:styleId="22">
    <w:name w:val="批注框文本 字符"/>
    <w:basedOn w:val="10"/>
    <w:link w:val="5"/>
    <w:semiHidden/>
    <w:qFormat/>
    <w:uiPriority w:val="99"/>
    <w:rPr>
      <w:sz w:val="18"/>
      <w:szCs w:val="18"/>
    </w:rPr>
  </w:style>
  <w:style w:type="character" w:customStyle="1" w:styleId="23">
    <w:name w:val="标题 4 字符"/>
    <w:basedOn w:val="10"/>
    <w:link w:val="4"/>
    <w:semiHidden/>
    <w:qFormat/>
    <w:uiPriority w:val="9"/>
    <w:rPr>
      <w:rFonts w:asciiTheme="majorHAnsi" w:hAnsiTheme="majorHAnsi" w:eastAsiaTheme="majorEastAsia" w:cstheme="majorBidi"/>
      <w:b/>
      <w:bCs/>
      <w:sz w:val="28"/>
      <w:szCs w:val="28"/>
    </w:rPr>
  </w:style>
  <w:style w:type="paragraph" w:styleId="24">
    <w:name w:val="No Spacing"/>
    <w:qFormat/>
    <w:uiPriority w:val="1"/>
    <w:pPr>
      <w:widowControl w:val="0"/>
      <w:jc w:val="both"/>
    </w:pPr>
    <w:rPr>
      <w:rFonts w:ascii="Times New Roman" w:hAnsi="Times New Roman" w:eastAsia="宋体" w:cstheme="minorBidi"/>
      <w:kern w:val="2"/>
      <w:sz w:val="21"/>
      <w:szCs w:val="22"/>
      <w:lang w:val="en-US" w:eastAsia="zh-CN" w:bidi="ar-SA"/>
    </w:rPr>
  </w:style>
  <w:style w:type="paragraph" w:customStyle="1" w:styleId="25">
    <w:name w:val="Revision"/>
    <w:hidden/>
    <w:semiHidden/>
    <w:qFormat/>
    <w:uiPriority w:val="99"/>
    <w:rPr>
      <w:rFonts w:ascii="Times New Roman" w:hAnsi="Times New Roman" w:eastAsia="宋体" w:cstheme="minorBidi"/>
      <w:kern w:val="2"/>
      <w:sz w:val="21"/>
      <w:szCs w:val="22"/>
      <w:lang w:val="en-US" w:eastAsia="zh-CN" w:bidi="ar-SA"/>
    </w:rPr>
  </w:style>
  <w:style w:type="paragraph" w:customStyle="1" w:styleId="26">
    <w:name w:val="07.headings"/>
    <w:basedOn w:val="1"/>
    <w:qFormat/>
    <w:uiPriority w:val="0"/>
    <w:pPr>
      <w:widowControl/>
      <w:spacing w:before="280" w:line="480" w:lineRule="auto"/>
      <w:jc w:val="left"/>
    </w:pPr>
    <w:rPr>
      <w:rFonts w:cs="Times New Roman"/>
      <w:b/>
      <w:kern w:val="0"/>
      <w:sz w:val="28"/>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08B7-02C8-8C42-A59F-76A0DF0EDDA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1942</Words>
  <Characters>7830</Characters>
  <Lines>65</Lines>
  <Paragraphs>18</Paragraphs>
  <TotalTime>6</TotalTime>
  <ScaleCrop>false</ScaleCrop>
  <LinksUpToDate>false</LinksUpToDate>
  <CharactersWithSpaces>9112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2025-02-01T15:35:00Z</dcterms:created>
  <dc:creator>Yu Qian</dc:creator>
  <cp:lastModifiedBy>黄子晴(2022310244)</cp:lastModifiedBy>
  <dcterms:modified xsi:type="dcterms:W3CDTF">2026-02-04T01:09:00Z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eyJoZGlkIjoiMjhmMjNhNjY5OTMxNGM3YjAxZmIxMmJkOTdhNmRhZjAiLCJ1c2VySWQiOiIxNTU5MDA5Mjc5In0=</vt:lpwstr>
  </property>
  <property fmtid="{D5CDD505-2E9C-101B-9397-08002B2CF9AE}" pid="3" name="KSOProductBuildVer">
    <vt:lpwstr>2052-12.1.0.23542</vt:lpwstr>
  </property>
  <property fmtid="{D5CDD505-2E9C-101B-9397-08002B2CF9AE}" pid="4" name="ICV">
    <vt:lpwstr>8F3341BD3C8F43FDBD74F7581052F630_12</vt:lpwstr>
  </property>
</Properties>
</file>